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337B79" w:rsidP="00337B79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A05559" w:rsidRDefault="00A05559" w:rsidP="00A05559">
      <w:pPr>
        <w:jc w:val="center"/>
        <w:rPr>
          <w:b/>
          <w:sz w:val="28"/>
          <w:szCs w:val="28"/>
        </w:rPr>
      </w:pPr>
    </w:p>
    <w:p w:rsidR="00337B79" w:rsidRPr="00281BC7" w:rsidRDefault="00337B79" w:rsidP="00A05559">
      <w:pPr>
        <w:jc w:val="center"/>
        <w:rPr>
          <w:b/>
          <w:sz w:val="28"/>
          <w:szCs w:val="28"/>
        </w:rPr>
      </w:pPr>
      <w:r w:rsidRPr="00EB4E14">
        <w:rPr>
          <w:b/>
          <w:sz w:val="28"/>
          <w:szCs w:val="28"/>
        </w:rPr>
        <w:t xml:space="preserve">Технический регламент </w:t>
      </w:r>
    </w:p>
    <w:p w:rsidR="00337B79" w:rsidRPr="00EB4E14" w:rsidRDefault="00337B79" w:rsidP="00A05559">
      <w:pPr>
        <w:jc w:val="center"/>
        <w:rPr>
          <w:b/>
          <w:sz w:val="28"/>
          <w:szCs w:val="28"/>
        </w:rPr>
      </w:pPr>
      <w:proofErr w:type="gramStart"/>
      <w:r w:rsidRPr="00EB4E14">
        <w:rPr>
          <w:b/>
          <w:sz w:val="28"/>
          <w:szCs w:val="28"/>
        </w:rPr>
        <w:t>передачи</w:t>
      </w:r>
      <w:proofErr w:type="gramEnd"/>
      <w:r w:rsidRPr="00EB4E14">
        <w:rPr>
          <w:b/>
          <w:sz w:val="28"/>
          <w:szCs w:val="28"/>
        </w:rPr>
        <w:t xml:space="preserve"> сведений об апеллянтах из муниципальных образований в регионал</w:t>
      </w:r>
      <w:r w:rsidR="00A05559">
        <w:rPr>
          <w:b/>
          <w:sz w:val="28"/>
          <w:szCs w:val="28"/>
        </w:rPr>
        <w:t>ьный центр обработки информации</w:t>
      </w:r>
    </w:p>
    <w:p w:rsidR="00A05559" w:rsidRDefault="00A05559" w:rsidP="00A05559">
      <w:pPr>
        <w:ind w:firstLine="708"/>
        <w:jc w:val="both"/>
        <w:rPr>
          <w:sz w:val="28"/>
          <w:szCs w:val="28"/>
        </w:rPr>
      </w:pPr>
    </w:p>
    <w:p w:rsidR="00337B79" w:rsidRPr="00EB4E14" w:rsidRDefault="00337B79" w:rsidP="00A05559">
      <w:pPr>
        <w:ind w:firstLine="708"/>
        <w:jc w:val="both"/>
        <w:rPr>
          <w:sz w:val="28"/>
          <w:szCs w:val="28"/>
        </w:rPr>
      </w:pPr>
      <w:r w:rsidRPr="00EB4E14">
        <w:rPr>
          <w:sz w:val="28"/>
          <w:szCs w:val="28"/>
        </w:rPr>
        <w:t>Передача сведений об апеллянтах производится посредством глобальной сети “</w:t>
      </w:r>
      <w:r w:rsidRPr="00EB4E14">
        <w:rPr>
          <w:sz w:val="28"/>
          <w:szCs w:val="28"/>
          <w:lang w:val="en-US"/>
        </w:rPr>
        <w:t>Internet</w:t>
      </w:r>
      <w:r w:rsidRPr="00EB4E14">
        <w:rPr>
          <w:sz w:val="28"/>
          <w:szCs w:val="28"/>
        </w:rPr>
        <w:t xml:space="preserve">”. </w:t>
      </w:r>
    </w:p>
    <w:p w:rsidR="00337B79" w:rsidRPr="00EB4E14" w:rsidRDefault="00337B79" w:rsidP="00A05559">
      <w:pPr>
        <w:ind w:firstLine="708"/>
        <w:jc w:val="both"/>
        <w:rPr>
          <w:b/>
          <w:sz w:val="28"/>
          <w:szCs w:val="28"/>
        </w:rPr>
      </w:pPr>
      <w:r w:rsidRPr="00EB4E14">
        <w:rPr>
          <w:b/>
          <w:sz w:val="28"/>
          <w:szCs w:val="28"/>
        </w:rPr>
        <w:t>Для начала работы необходимо:</w:t>
      </w:r>
    </w:p>
    <w:p w:rsidR="00337B79" w:rsidRPr="00AE1BCD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зайти</w:t>
      </w:r>
      <w:proofErr w:type="gramEnd"/>
      <w:r w:rsidRPr="00EB4E14">
        <w:rPr>
          <w:sz w:val="28"/>
          <w:szCs w:val="28"/>
        </w:rPr>
        <w:t xml:space="preserve"> на ресурс</w:t>
      </w:r>
      <w:r>
        <w:rPr>
          <w:sz w:val="28"/>
          <w:szCs w:val="28"/>
        </w:rPr>
        <w:t>, ссылка для подачи апелляции ЕГЭ</w:t>
      </w:r>
      <w:r w:rsidRPr="00EB4E14">
        <w:rPr>
          <w:sz w:val="28"/>
          <w:szCs w:val="28"/>
        </w:rPr>
        <w:t xml:space="preserve"> </w:t>
      </w:r>
      <w:hyperlink r:id="rId5" w:history="1">
        <w:r w:rsidRPr="00412AA7">
          <w:rPr>
            <w:rStyle w:val="a3"/>
            <w:sz w:val="28"/>
            <w:szCs w:val="28"/>
            <w:shd w:val="clear" w:color="auto" w:fill="A8D08D" w:themeFill="accent6" w:themeFillTint="99"/>
            <w:lang w:val="en-US"/>
          </w:rPr>
          <w:t>http</w:t>
        </w:r>
        <w:r w:rsidRPr="00412AA7">
          <w:rPr>
            <w:rStyle w:val="a3"/>
            <w:sz w:val="28"/>
            <w:szCs w:val="28"/>
            <w:shd w:val="clear" w:color="auto" w:fill="A8D08D" w:themeFill="accent6" w:themeFillTint="99"/>
          </w:rPr>
          <w:t>://85.233.72.30:823</w:t>
        </w:r>
      </w:hyperlink>
      <w:r>
        <w:rPr>
          <w:sz w:val="28"/>
          <w:szCs w:val="28"/>
        </w:rPr>
        <w:t xml:space="preserve"> ссылка для подачи апелляции ОГЭ</w:t>
      </w:r>
      <w:r w:rsidRPr="00EB4E14">
        <w:rPr>
          <w:sz w:val="28"/>
          <w:szCs w:val="28"/>
        </w:rPr>
        <w:t xml:space="preserve"> </w:t>
      </w:r>
      <w:r w:rsidRPr="00CE5B54">
        <w:rPr>
          <w:sz w:val="28"/>
          <w:szCs w:val="28"/>
          <w:shd w:val="clear" w:color="auto" w:fill="A8D08D" w:themeFill="accent6" w:themeFillTint="99"/>
          <w:lang w:val="en-US"/>
        </w:rPr>
        <w:t>http</w:t>
      </w:r>
      <w:r w:rsidRPr="00CE5B54">
        <w:rPr>
          <w:sz w:val="28"/>
          <w:szCs w:val="28"/>
          <w:shd w:val="clear" w:color="auto" w:fill="A8D08D" w:themeFill="accent6" w:themeFillTint="99"/>
        </w:rPr>
        <w:t>://85.233.72.</w:t>
      </w:r>
      <w:r w:rsidRPr="00AE1BCD">
        <w:rPr>
          <w:sz w:val="28"/>
          <w:szCs w:val="28"/>
          <w:shd w:val="clear" w:color="auto" w:fill="A8D08D" w:themeFill="accent6" w:themeFillTint="99"/>
        </w:rPr>
        <w:t>30</w:t>
      </w:r>
      <w:r>
        <w:rPr>
          <w:sz w:val="28"/>
          <w:szCs w:val="28"/>
          <w:shd w:val="clear" w:color="auto" w:fill="A8D08D" w:themeFill="accent6" w:themeFillTint="99"/>
        </w:rPr>
        <w:t>:824</w:t>
      </w:r>
    </w:p>
    <w:p w:rsidR="00337B79" w:rsidRPr="00EB4E14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авторизоваться</w:t>
      </w:r>
      <w:proofErr w:type="gramEnd"/>
      <w:r w:rsidRPr="00EB4E14">
        <w:rPr>
          <w:sz w:val="28"/>
          <w:szCs w:val="28"/>
        </w:rPr>
        <w:t xml:space="preserve"> (логин и пароль </w:t>
      </w:r>
      <w:r>
        <w:rPr>
          <w:sz w:val="28"/>
          <w:szCs w:val="28"/>
        </w:rPr>
        <w:t xml:space="preserve">размещён на </w:t>
      </w:r>
      <w:r>
        <w:rPr>
          <w:sz w:val="28"/>
          <w:szCs w:val="28"/>
          <w:lang w:val="en-US"/>
        </w:rPr>
        <w:t>FTP</w:t>
      </w:r>
      <w:r w:rsidRPr="00A40B9E">
        <w:rPr>
          <w:sz w:val="28"/>
          <w:szCs w:val="28"/>
        </w:rPr>
        <w:t xml:space="preserve"> </w:t>
      </w:r>
      <w:r>
        <w:rPr>
          <w:sz w:val="28"/>
          <w:szCs w:val="28"/>
        </w:rPr>
        <w:t>сервере</w:t>
      </w:r>
      <w:r w:rsidRPr="00EB4E14">
        <w:rPr>
          <w:sz w:val="28"/>
          <w:szCs w:val="28"/>
        </w:rPr>
        <w:t xml:space="preserve">). После аутентификации в левом вернем углу отображается </w:t>
      </w:r>
      <w:r>
        <w:rPr>
          <w:sz w:val="28"/>
          <w:szCs w:val="28"/>
        </w:rPr>
        <w:t>логин (</w:t>
      </w:r>
      <w:r w:rsidRPr="00EB4E14">
        <w:rPr>
          <w:sz w:val="28"/>
          <w:szCs w:val="28"/>
        </w:rPr>
        <w:t>код вашего АТЕ</w:t>
      </w:r>
      <w:r>
        <w:rPr>
          <w:sz w:val="28"/>
          <w:szCs w:val="28"/>
        </w:rPr>
        <w:t>)</w:t>
      </w:r>
      <w:r w:rsidRPr="00EB4E14">
        <w:rPr>
          <w:sz w:val="28"/>
          <w:szCs w:val="28"/>
        </w:rPr>
        <w:t>;</w:t>
      </w:r>
    </w:p>
    <w:p w:rsidR="00337B79" w:rsidRPr="008165B5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необходимо</w:t>
      </w:r>
      <w:proofErr w:type="gramEnd"/>
      <w:r w:rsidRPr="00EB4E14">
        <w:rPr>
          <w:sz w:val="28"/>
          <w:szCs w:val="28"/>
        </w:rPr>
        <w:t xml:space="preserve"> произвести ввод сведений об апеллянтах. </w:t>
      </w:r>
    </w:p>
    <w:p w:rsidR="00337B79" w:rsidRPr="00EB4E14" w:rsidRDefault="00337B79" w:rsidP="00A05559">
      <w:pPr>
        <w:ind w:left="1068"/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Данные участников вводятся последовательно: </w:t>
      </w:r>
    </w:p>
    <w:p w:rsidR="00337B79" w:rsidRPr="00EB4E14" w:rsidRDefault="00337B79" w:rsidP="00A05559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фамилию</w:t>
      </w:r>
      <w:proofErr w:type="gramEnd"/>
      <w:r w:rsidRPr="00EB4E14">
        <w:rPr>
          <w:sz w:val="28"/>
          <w:szCs w:val="28"/>
        </w:rPr>
        <w:t xml:space="preserve">, имя и отчество (при наличии), </w:t>
      </w:r>
    </w:p>
    <w:p w:rsidR="00337B79" w:rsidRDefault="00337B79" w:rsidP="00A05559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паспортные</w:t>
      </w:r>
      <w:proofErr w:type="gramEnd"/>
      <w:r w:rsidRPr="00EB4E14">
        <w:rPr>
          <w:sz w:val="28"/>
          <w:szCs w:val="28"/>
        </w:rPr>
        <w:t xml:space="preserve"> данные, </w:t>
      </w:r>
    </w:p>
    <w:p w:rsidR="00337B79" w:rsidRPr="00EB4E14" w:rsidRDefault="00337B79" w:rsidP="00A05559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предмет</w:t>
      </w:r>
      <w:proofErr w:type="gramEnd"/>
      <w:r w:rsidRPr="00EB4E14">
        <w:rPr>
          <w:sz w:val="28"/>
          <w:szCs w:val="28"/>
        </w:rPr>
        <w:t>;</w:t>
      </w:r>
    </w:p>
    <w:p w:rsidR="00337B79" w:rsidRDefault="00337B79" w:rsidP="00A05559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день</w:t>
      </w:r>
      <w:proofErr w:type="gramEnd"/>
      <w:r>
        <w:rPr>
          <w:sz w:val="28"/>
          <w:szCs w:val="28"/>
        </w:rPr>
        <w:t xml:space="preserve"> экзамена</w:t>
      </w:r>
      <w:r>
        <w:rPr>
          <w:sz w:val="28"/>
          <w:szCs w:val="28"/>
          <w:lang w:val="en-US"/>
        </w:rPr>
        <w:t>.</w:t>
      </w:r>
    </w:p>
    <w:p w:rsidR="00337B79" w:rsidRPr="00EB4E14" w:rsidRDefault="00337B79" w:rsidP="00A05559">
      <w:pPr>
        <w:ind w:left="1068" w:firstLine="348"/>
        <w:jc w:val="both"/>
        <w:rPr>
          <w:sz w:val="28"/>
          <w:szCs w:val="28"/>
        </w:rPr>
      </w:pPr>
      <w:r>
        <w:rPr>
          <w:sz w:val="28"/>
          <w:szCs w:val="28"/>
        </w:rPr>
        <w:t>Для каждого участника вы можете указать желаемую дату рассмотрения апелляции, например: в случае если участник не может явиться на рассмотрение апелляции по причине сдачи другого экзамена ГИА в этот день.</w:t>
      </w:r>
    </w:p>
    <w:p w:rsidR="00337B79" w:rsidRPr="00EB4E14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после</w:t>
      </w:r>
      <w:proofErr w:type="gramEnd"/>
      <w:r w:rsidRPr="00EB4E14">
        <w:rPr>
          <w:sz w:val="28"/>
          <w:szCs w:val="28"/>
        </w:rPr>
        <w:t xml:space="preserve"> заполнения вышеназванных полей нажать на кнопку «Добавить апелляцию». Если введённые данные верны</w:t>
      </w:r>
      <w:r>
        <w:rPr>
          <w:sz w:val="28"/>
          <w:szCs w:val="28"/>
        </w:rPr>
        <w:t xml:space="preserve">, то </w:t>
      </w:r>
      <w:r w:rsidRPr="00EB4E14">
        <w:rPr>
          <w:sz w:val="28"/>
          <w:szCs w:val="28"/>
        </w:rPr>
        <w:t xml:space="preserve">вы увидите </w:t>
      </w:r>
      <w:r>
        <w:rPr>
          <w:sz w:val="28"/>
          <w:szCs w:val="28"/>
        </w:rPr>
        <w:t>сообщение «</w:t>
      </w:r>
      <w:r>
        <w:rPr>
          <w:b/>
          <w:bCs/>
          <w:color w:val="008000"/>
          <w:sz w:val="28"/>
          <w:szCs w:val="28"/>
        </w:rPr>
        <w:t>Апелляция создана</w:t>
      </w:r>
      <w:r>
        <w:rPr>
          <w:sz w:val="28"/>
          <w:szCs w:val="28"/>
        </w:rPr>
        <w:t>».</w:t>
      </w:r>
      <w:r w:rsidRPr="00EB4E14">
        <w:rPr>
          <w:sz w:val="28"/>
          <w:szCs w:val="28"/>
        </w:rPr>
        <w:t xml:space="preserve"> </w:t>
      </w:r>
    </w:p>
    <w:p w:rsidR="00337B79" w:rsidRPr="00EB4E14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последовательно</w:t>
      </w:r>
      <w:proofErr w:type="gramEnd"/>
      <w:r w:rsidRPr="00EB4E14">
        <w:rPr>
          <w:sz w:val="28"/>
          <w:szCs w:val="28"/>
        </w:rPr>
        <w:t xml:space="preserve"> внесите всех необходимых участников; </w:t>
      </w:r>
    </w:p>
    <w:p w:rsidR="00337B79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для</w:t>
      </w:r>
      <w:proofErr w:type="gramEnd"/>
      <w:r w:rsidRPr="00EB4E14">
        <w:rPr>
          <w:sz w:val="28"/>
          <w:szCs w:val="28"/>
        </w:rPr>
        <w:t xml:space="preserve"> просмотра уже внесённых данных воспользуйтесь кнопкой «список </w:t>
      </w:r>
      <w:r w:rsidRPr="00403298">
        <w:rPr>
          <w:i/>
          <w:sz w:val="28"/>
          <w:szCs w:val="28"/>
        </w:rPr>
        <w:t>поданных</w:t>
      </w:r>
      <w:r>
        <w:rPr>
          <w:i/>
          <w:sz w:val="28"/>
          <w:szCs w:val="28"/>
        </w:rPr>
        <w:t xml:space="preserve"> </w:t>
      </w:r>
      <w:r w:rsidRPr="00EB4E14">
        <w:rPr>
          <w:sz w:val="28"/>
          <w:szCs w:val="28"/>
        </w:rPr>
        <w:t xml:space="preserve">апелляций». В появившемся списке отображаются все введённые вами данные, а также время и дата рассмотрения апелляции и её статус. Для удобства поиска можно воспользоваться фильтром отображения (меняя дату экзамена и предмет); </w:t>
      </w:r>
    </w:p>
    <w:p w:rsidR="00337B79" w:rsidRPr="00BB1EC0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Список поданных апелляций вы можете скачать в виде таблицы в формате «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>»</w:t>
      </w:r>
      <w:r w:rsidRPr="00BB1E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файла. Для этого на странице </w:t>
      </w:r>
      <w:r w:rsidRPr="00EB4E14">
        <w:rPr>
          <w:sz w:val="28"/>
          <w:szCs w:val="28"/>
        </w:rPr>
        <w:t>«список поданных</w:t>
      </w:r>
      <w:r>
        <w:rPr>
          <w:sz w:val="28"/>
          <w:szCs w:val="28"/>
        </w:rPr>
        <w:t xml:space="preserve"> </w:t>
      </w:r>
      <w:r w:rsidRPr="00EB4E14">
        <w:rPr>
          <w:sz w:val="28"/>
          <w:szCs w:val="28"/>
        </w:rPr>
        <w:t>апелляций»</w:t>
      </w:r>
      <w:r>
        <w:rPr>
          <w:sz w:val="28"/>
          <w:szCs w:val="28"/>
        </w:rPr>
        <w:t xml:space="preserve"> нажмите на кнопку «Скачать список 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>»</w:t>
      </w:r>
      <w:r w:rsidRPr="00BB1EC0">
        <w:rPr>
          <w:sz w:val="28"/>
          <w:szCs w:val="28"/>
        </w:rPr>
        <w:t xml:space="preserve">. </w:t>
      </w:r>
      <w:r>
        <w:rPr>
          <w:sz w:val="28"/>
          <w:szCs w:val="28"/>
        </w:rPr>
        <w:t>Для просмотра «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>»</w:t>
      </w:r>
      <w:r w:rsidRPr="00BB1E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файла необходим </w:t>
      </w:r>
      <w:r>
        <w:rPr>
          <w:sz w:val="28"/>
          <w:szCs w:val="28"/>
          <w:lang w:val="en-US"/>
        </w:rPr>
        <w:t>PDF</w:t>
      </w:r>
      <w:r w:rsidRPr="00BB1EC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Reader</w:t>
      </w:r>
      <w:r>
        <w:rPr>
          <w:sz w:val="28"/>
          <w:szCs w:val="28"/>
        </w:rPr>
        <w:t xml:space="preserve">. Скачать один из них вы можете по указанной ссылке: </w:t>
      </w:r>
      <w:r w:rsidRPr="00BB1EC0">
        <w:rPr>
          <w:sz w:val="28"/>
          <w:szCs w:val="28"/>
        </w:rPr>
        <w:t>http://get.adobe.com/ru/reader/</w:t>
      </w:r>
    </w:p>
    <w:p w:rsidR="00337B79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при</w:t>
      </w:r>
      <w:proofErr w:type="gramEnd"/>
      <w:r w:rsidRPr="00EB4E14">
        <w:rPr>
          <w:sz w:val="28"/>
          <w:szCs w:val="28"/>
        </w:rPr>
        <w:t xml:space="preserve"> необходимости удалить данные, введённые по ошибке, отметьте строки нужных участников и нажмите на кнопку «удалить выбранных». </w:t>
      </w:r>
    </w:p>
    <w:p w:rsidR="00A05559" w:rsidRDefault="00A05559" w:rsidP="00A05559">
      <w:pPr>
        <w:ind w:left="1068"/>
        <w:jc w:val="both"/>
        <w:rPr>
          <w:sz w:val="28"/>
          <w:szCs w:val="28"/>
        </w:rPr>
      </w:pPr>
    </w:p>
    <w:p w:rsidR="00337B79" w:rsidRPr="00EB4E14" w:rsidRDefault="00337B79" w:rsidP="00337B79">
      <w:pPr>
        <w:ind w:firstLine="708"/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Если апеллянт имеет статус «экспорт», </w:t>
      </w:r>
      <w:r>
        <w:rPr>
          <w:sz w:val="28"/>
          <w:szCs w:val="28"/>
        </w:rPr>
        <w:t>это</w:t>
      </w:r>
      <w:r w:rsidRPr="00EB4E14">
        <w:rPr>
          <w:sz w:val="28"/>
          <w:szCs w:val="28"/>
        </w:rPr>
        <w:t xml:space="preserve"> </w:t>
      </w:r>
      <w:r>
        <w:rPr>
          <w:sz w:val="28"/>
          <w:szCs w:val="28"/>
        </w:rPr>
        <w:t>обозначае</w:t>
      </w:r>
      <w:r w:rsidRPr="00EB4E14">
        <w:rPr>
          <w:sz w:val="28"/>
          <w:szCs w:val="28"/>
        </w:rPr>
        <w:t xml:space="preserve">т, </w:t>
      </w:r>
      <w:r>
        <w:rPr>
          <w:sz w:val="28"/>
          <w:szCs w:val="28"/>
        </w:rPr>
        <w:t xml:space="preserve">что </w:t>
      </w:r>
      <w:r w:rsidRPr="00EB4E14">
        <w:rPr>
          <w:sz w:val="28"/>
          <w:szCs w:val="28"/>
        </w:rPr>
        <w:t>апелляция уже создана, возможность</w:t>
      </w:r>
      <w:r>
        <w:rPr>
          <w:sz w:val="28"/>
          <w:szCs w:val="28"/>
        </w:rPr>
        <w:t xml:space="preserve"> удалить</w:t>
      </w:r>
      <w:r w:rsidRPr="00EB4E14">
        <w:rPr>
          <w:sz w:val="28"/>
          <w:szCs w:val="28"/>
        </w:rPr>
        <w:t xml:space="preserve"> данные отсутствует, для удаления необходимо </w:t>
      </w:r>
      <w:r>
        <w:rPr>
          <w:sz w:val="28"/>
          <w:szCs w:val="28"/>
        </w:rPr>
        <w:t>связаться</w:t>
      </w:r>
      <w:r w:rsidRPr="00EB4E1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B4E14">
        <w:rPr>
          <w:sz w:val="28"/>
          <w:szCs w:val="28"/>
        </w:rPr>
        <w:t xml:space="preserve"> РЦОИ до начала рассмотрения</w:t>
      </w:r>
      <w:r>
        <w:rPr>
          <w:sz w:val="28"/>
          <w:szCs w:val="28"/>
        </w:rPr>
        <w:t xml:space="preserve"> апелляций</w:t>
      </w:r>
      <w:r w:rsidRPr="00EB4E14">
        <w:rPr>
          <w:sz w:val="28"/>
          <w:szCs w:val="28"/>
        </w:rPr>
        <w:t>.</w:t>
      </w:r>
    </w:p>
    <w:p w:rsidR="00337B79" w:rsidRPr="00281BC7" w:rsidRDefault="00337B79" w:rsidP="00337B79">
      <w:pPr>
        <w:jc w:val="both"/>
        <w:rPr>
          <w:sz w:val="28"/>
          <w:szCs w:val="28"/>
        </w:rPr>
      </w:pPr>
      <w:r w:rsidRPr="00EB4E14">
        <w:rPr>
          <w:sz w:val="28"/>
          <w:szCs w:val="28"/>
        </w:rPr>
        <w:lastRenderedPageBreak/>
        <w:tab/>
        <w:t>Обращаем ваше внимание на то, что: апелляции рассматриваются одновременно в нескольких аудиториях, в связи с этим нескольким участникам присваивается одно время рассмотрения.</w:t>
      </w:r>
    </w:p>
    <w:p w:rsidR="00337B79" w:rsidRPr="00281BC7" w:rsidRDefault="00337B79" w:rsidP="00337B79">
      <w:pPr>
        <w:jc w:val="both"/>
        <w:rPr>
          <w:sz w:val="28"/>
          <w:szCs w:val="28"/>
        </w:rPr>
      </w:pPr>
    </w:p>
    <w:p w:rsidR="00337B79" w:rsidRPr="00EB4E14" w:rsidRDefault="00337B79" w:rsidP="00337B79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B4E14">
        <w:rPr>
          <w:sz w:val="28"/>
          <w:szCs w:val="28"/>
        </w:rPr>
        <w:t>озможные ошибки: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538"/>
      </w:tblGrid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center"/>
              <w:rPr>
                <w:b/>
                <w:sz w:val="28"/>
                <w:szCs w:val="28"/>
              </w:rPr>
            </w:pPr>
            <w:r w:rsidRPr="00EB4E14">
              <w:rPr>
                <w:b/>
                <w:sz w:val="28"/>
                <w:szCs w:val="28"/>
              </w:rPr>
              <w:t>Ошибка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center"/>
              <w:rPr>
                <w:b/>
                <w:sz w:val="28"/>
                <w:szCs w:val="28"/>
              </w:rPr>
            </w:pPr>
            <w:r w:rsidRPr="00EB4E14">
              <w:rPr>
                <w:b/>
                <w:sz w:val="28"/>
                <w:szCs w:val="28"/>
              </w:rPr>
              <w:t>Причина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337B79" w:rsidP="00E15617">
            <w:pPr>
              <w:jc w:val="center"/>
              <w:rPr>
                <w:b/>
                <w:sz w:val="28"/>
                <w:szCs w:val="28"/>
              </w:rPr>
            </w:pPr>
            <w:r w:rsidRPr="00EB4E14">
              <w:rPr>
                <w:b/>
                <w:sz w:val="28"/>
                <w:szCs w:val="28"/>
              </w:rPr>
              <w:t>Решение</w:t>
            </w:r>
          </w:p>
        </w:tc>
      </w:tr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 не найден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 xml:space="preserve">Данные участника не найдены в базе данных, скорее всего ошибка </w:t>
            </w:r>
            <w:r>
              <w:rPr>
                <w:sz w:val="28"/>
                <w:szCs w:val="28"/>
              </w:rPr>
              <w:t xml:space="preserve">правильности </w:t>
            </w:r>
            <w:r w:rsidR="00B4256A">
              <w:rPr>
                <w:sz w:val="28"/>
                <w:szCs w:val="28"/>
              </w:rPr>
              <w:t>данных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 xml:space="preserve">Проверить введённые данные. Если данные верны, а ошибка остаётся – </w:t>
            </w:r>
            <w:r>
              <w:rPr>
                <w:sz w:val="28"/>
                <w:szCs w:val="28"/>
              </w:rPr>
              <w:t>свяжитесь с</w:t>
            </w:r>
            <w:r w:rsidR="00B4256A">
              <w:rPr>
                <w:sz w:val="28"/>
                <w:szCs w:val="28"/>
              </w:rPr>
              <w:t xml:space="preserve"> РЦОИ</w:t>
            </w:r>
          </w:p>
        </w:tc>
      </w:tr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 не найден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В базе данных нет сведений об этом экзамене данного участника. Возможно, указана неверная</w:t>
            </w:r>
            <w:r>
              <w:rPr>
                <w:sz w:val="28"/>
                <w:szCs w:val="28"/>
              </w:rPr>
              <w:t xml:space="preserve"> дата экзамена или предмет. Так</w:t>
            </w:r>
            <w:r w:rsidRPr="00EB4E14">
              <w:rPr>
                <w:sz w:val="28"/>
                <w:szCs w:val="28"/>
              </w:rPr>
              <w:t>же, возможно, результа</w:t>
            </w:r>
            <w:r w:rsidR="00B4256A">
              <w:rPr>
                <w:sz w:val="28"/>
                <w:szCs w:val="28"/>
              </w:rPr>
              <w:t>ты этого экзамена ещё не готовы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337B79" w:rsidP="00B4256A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Проверить выбранную дату экзамена, а также предмет. Убедиться, что в МОУО пришли результаты данного экзамена. Убедиться, что данный участник имеет действующий результат по данному экзамену (работа не должна быть аннулированной)</w:t>
            </w:r>
          </w:p>
        </w:tc>
      </w:tr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Участнику уже назначен</w:t>
            </w:r>
            <w:r w:rsidR="00B4256A">
              <w:rPr>
                <w:sz w:val="28"/>
                <w:szCs w:val="28"/>
              </w:rPr>
              <w:t>а апелляция по данному экзамену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Данные апел</w:t>
            </w:r>
            <w:r w:rsidR="00B4256A">
              <w:rPr>
                <w:sz w:val="28"/>
                <w:szCs w:val="28"/>
              </w:rPr>
              <w:t>лянта уже внесены в базу данных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Действия не требу</w:t>
            </w:r>
            <w:r>
              <w:rPr>
                <w:sz w:val="28"/>
                <w:szCs w:val="28"/>
              </w:rPr>
              <w:t>ю</w:t>
            </w:r>
            <w:r w:rsidR="00B4256A">
              <w:rPr>
                <w:sz w:val="28"/>
                <w:szCs w:val="28"/>
              </w:rPr>
              <w:t>тся</w:t>
            </w:r>
          </w:p>
        </w:tc>
      </w:tr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закончились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Закончились запланированные м</w:t>
            </w:r>
            <w:r w:rsidR="00B4256A">
              <w:rPr>
                <w:sz w:val="28"/>
                <w:szCs w:val="28"/>
              </w:rPr>
              <w:t>еста для рассмотрения апелляций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Срочно связаться с РЦОИ</w:t>
            </w:r>
          </w:p>
        </w:tc>
      </w:tr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Внутренняя ошибка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Внутренняя ошибка сервера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пробуйте повторить ввод через 15</w:t>
            </w:r>
            <w:r w:rsidR="00B4256A">
              <w:rPr>
                <w:sz w:val="28"/>
                <w:szCs w:val="28"/>
              </w:rPr>
              <w:t xml:space="preserve"> минут</w:t>
            </w:r>
            <w:bookmarkStart w:id="0" w:name="_GoBack"/>
            <w:bookmarkEnd w:id="0"/>
          </w:p>
        </w:tc>
      </w:tr>
    </w:tbl>
    <w:p w:rsidR="00337B79" w:rsidRPr="00EB4E14" w:rsidRDefault="00337B79" w:rsidP="00337B79">
      <w:pPr>
        <w:rPr>
          <w:sz w:val="28"/>
          <w:szCs w:val="28"/>
        </w:rPr>
      </w:pPr>
    </w:p>
    <w:p w:rsidR="00337B79" w:rsidRPr="00281BC7" w:rsidRDefault="00337B79" w:rsidP="00337B79">
      <w:pPr>
        <w:rPr>
          <w:sz w:val="28"/>
          <w:szCs w:val="28"/>
        </w:rPr>
      </w:pPr>
      <w:r>
        <w:rPr>
          <w:sz w:val="28"/>
          <w:szCs w:val="28"/>
        </w:rPr>
        <w:t>Телефон для справок</w:t>
      </w:r>
      <w:r w:rsidR="00A05559">
        <w:rPr>
          <w:sz w:val="28"/>
          <w:szCs w:val="28"/>
        </w:rPr>
        <w:t xml:space="preserve">: </w:t>
      </w:r>
      <w:r w:rsidRPr="00EB4E14">
        <w:rPr>
          <w:sz w:val="28"/>
          <w:szCs w:val="28"/>
        </w:rPr>
        <w:t xml:space="preserve">(843) </w:t>
      </w:r>
      <w:r w:rsidRPr="00281BC7">
        <w:rPr>
          <w:sz w:val="28"/>
          <w:szCs w:val="28"/>
        </w:rPr>
        <w:t>223-09-07</w:t>
      </w:r>
      <w:r w:rsidR="00A05559">
        <w:rPr>
          <w:sz w:val="28"/>
          <w:szCs w:val="28"/>
        </w:rPr>
        <w:t>, (843) 223-09-18, (843) 223-09-17</w:t>
      </w:r>
    </w:p>
    <w:p w:rsidR="00337B79" w:rsidRDefault="00337B79" w:rsidP="00337B79">
      <w:pPr>
        <w:rPr>
          <w:sz w:val="28"/>
          <w:szCs w:val="28"/>
        </w:rPr>
      </w:pPr>
      <w:r w:rsidRPr="00EB4E14">
        <w:rPr>
          <w:sz w:val="28"/>
          <w:szCs w:val="28"/>
          <w:lang w:val="en-US"/>
        </w:rPr>
        <w:t>E</w:t>
      </w:r>
      <w:r w:rsidRPr="00EB4E14">
        <w:rPr>
          <w:sz w:val="28"/>
          <w:szCs w:val="28"/>
        </w:rPr>
        <w:t>-</w:t>
      </w:r>
      <w:r w:rsidRPr="00EB4E14"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</w:t>
      </w:r>
      <w:r w:rsidRPr="00EB4E14">
        <w:rPr>
          <w:sz w:val="28"/>
          <w:szCs w:val="28"/>
        </w:rPr>
        <w:t xml:space="preserve"> </w:t>
      </w:r>
      <w:proofErr w:type="spellStart"/>
      <w:r w:rsidRPr="00EB4E14">
        <w:rPr>
          <w:sz w:val="28"/>
          <w:szCs w:val="28"/>
          <w:lang w:val="en-US"/>
        </w:rPr>
        <w:t>egerbd</w:t>
      </w:r>
      <w:proofErr w:type="spellEnd"/>
      <w:r w:rsidRPr="00EB4E14">
        <w:rPr>
          <w:sz w:val="28"/>
          <w:szCs w:val="28"/>
        </w:rPr>
        <w:t>@</w:t>
      </w:r>
      <w:proofErr w:type="spellStart"/>
      <w:r w:rsidRPr="00EB4E14">
        <w:rPr>
          <w:sz w:val="28"/>
          <w:szCs w:val="28"/>
          <w:lang w:val="en-US"/>
        </w:rPr>
        <w:t>gmail</w:t>
      </w:r>
      <w:proofErr w:type="spellEnd"/>
      <w:r w:rsidRPr="00EB4E14">
        <w:rPr>
          <w:sz w:val="28"/>
          <w:szCs w:val="28"/>
        </w:rPr>
        <w:t>.</w:t>
      </w:r>
      <w:r w:rsidRPr="00EB4E14">
        <w:rPr>
          <w:sz w:val="28"/>
          <w:szCs w:val="28"/>
          <w:lang w:val="en-US"/>
        </w:rPr>
        <w:t>com</w:t>
      </w:r>
    </w:p>
    <w:p w:rsidR="0033407E" w:rsidRDefault="00B4256A"/>
    <w:sectPr w:rsidR="0033407E" w:rsidSect="007029F1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41EA5"/>
    <w:multiLevelType w:val="hybridMultilevel"/>
    <w:tmpl w:val="91F8606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74884E78"/>
    <w:multiLevelType w:val="hybridMultilevel"/>
    <w:tmpl w:val="CC2412C2"/>
    <w:lvl w:ilvl="0" w:tplc="C2D056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A9F"/>
    <w:rsid w:val="0028066B"/>
    <w:rsid w:val="003229EA"/>
    <w:rsid w:val="00337B79"/>
    <w:rsid w:val="00A05559"/>
    <w:rsid w:val="00B4256A"/>
    <w:rsid w:val="00ED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AD860-EADC-458D-8837-B18660AD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37B79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337B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85.233.72.30:8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Любовь А.. Лисенкова</cp:lastModifiedBy>
  <cp:revision>4</cp:revision>
  <dcterms:created xsi:type="dcterms:W3CDTF">2017-04-07T07:05:00Z</dcterms:created>
  <dcterms:modified xsi:type="dcterms:W3CDTF">2018-03-19T08:49:00Z</dcterms:modified>
</cp:coreProperties>
</file>